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59DCF" w14:textId="0A7EAC1B" w:rsidR="00663790" w:rsidRPr="00CE50AC" w:rsidRDefault="00663790" w:rsidP="00E035BF">
      <w:pPr>
        <w:pStyle w:val="berschrift1"/>
        <w:spacing w:line="320" w:lineRule="atLeast"/>
        <w:ind w:right="-1"/>
        <w:rPr>
          <w:rFonts w:ascii="MetaNormalLF-Roman" w:hAnsi="MetaNormalLF-Roman"/>
          <w:sz w:val="22"/>
          <w:szCs w:val="22"/>
        </w:rPr>
      </w:pPr>
      <w:r w:rsidRPr="00CE50AC">
        <w:rPr>
          <w:rFonts w:ascii="MetaNormalLF-Roman" w:hAnsi="MetaNormalLF-Roman"/>
          <w:sz w:val="22"/>
          <w:szCs w:val="22"/>
        </w:rPr>
        <w:t>Gore</w:t>
      </w:r>
      <w:r w:rsidR="00602BF8" w:rsidRPr="00CE50AC">
        <w:rPr>
          <w:rFonts w:ascii="MetaNormalLF-Roman" w:hAnsi="MetaNormalLF-Roman"/>
          <w:sz w:val="22"/>
          <w:szCs w:val="22"/>
        </w:rPr>
        <w:t xml:space="preserve"> </w:t>
      </w:r>
      <w:r w:rsidR="0096484E">
        <w:rPr>
          <w:rFonts w:ascii="MetaNormalLF-Roman" w:hAnsi="MetaNormalLF-Roman"/>
          <w:sz w:val="22"/>
          <w:szCs w:val="22"/>
        </w:rPr>
        <w:t xml:space="preserve">als einer der weltweit besten Arbeitgeber ausgezeichnet </w:t>
      </w:r>
      <w:r w:rsidR="004D408C">
        <w:rPr>
          <w:rFonts w:ascii="MetaNormalLF-Roman" w:hAnsi="MetaNormalLF-Roman"/>
          <w:sz w:val="22"/>
          <w:szCs w:val="22"/>
        </w:rPr>
        <w:t xml:space="preserve"> </w:t>
      </w:r>
    </w:p>
    <w:p w14:paraId="53F40C9A" w14:textId="5724BA15" w:rsidR="00760633" w:rsidRDefault="00C4315E" w:rsidP="00E035BF">
      <w:pPr>
        <w:pStyle w:val="berschrift1"/>
        <w:spacing w:line="320" w:lineRule="atLeast"/>
        <w:ind w:right="-1"/>
        <w:rPr>
          <w:rFonts w:ascii="MetaNormalLF-Roman" w:hAnsi="MetaNormalLF-Roman"/>
          <w:sz w:val="22"/>
          <w:szCs w:val="22"/>
        </w:rPr>
      </w:pPr>
      <w:r w:rsidRPr="00C4315E">
        <w:rPr>
          <w:rFonts w:ascii="MetaNormalLF-Roman" w:hAnsi="MetaNormalLF-Roman"/>
          <w:sz w:val="22"/>
          <w:szCs w:val="22"/>
        </w:rPr>
        <w:t>T</w:t>
      </w:r>
      <w:r w:rsidR="00B10F9A">
        <w:rPr>
          <w:rFonts w:ascii="MetaNormalLF-Roman" w:hAnsi="MetaNormalLF-Roman"/>
          <w:sz w:val="22"/>
          <w:szCs w:val="22"/>
        </w:rPr>
        <w:t>echnologie</w:t>
      </w:r>
      <w:r w:rsidRPr="00C4315E">
        <w:rPr>
          <w:rFonts w:ascii="MetaNormalLF-Roman" w:hAnsi="MetaNormalLF-Roman"/>
          <w:sz w:val="22"/>
          <w:szCs w:val="22"/>
        </w:rPr>
        <w:t>unternehmen</w:t>
      </w:r>
      <w:r w:rsidRPr="00C4315E">
        <w:rPr>
          <w:rFonts w:ascii="MetaNormalLF-Roman" w:hAnsi="MetaNormalLF-Roman"/>
          <w:color w:val="C00000"/>
          <w:sz w:val="22"/>
          <w:szCs w:val="22"/>
        </w:rPr>
        <w:t xml:space="preserve"> </w:t>
      </w:r>
      <w:r w:rsidRPr="00C4315E">
        <w:rPr>
          <w:rFonts w:ascii="MetaNormalLF-Roman" w:hAnsi="MetaNormalLF-Roman"/>
          <w:sz w:val="22"/>
          <w:szCs w:val="22"/>
        </w:rPr>
        <w:t>belegt</w:t>
      </w:r>
      <w:r w:rsidR="00722A94">
        <w:rPr>
          <w:rFonts w:ascii="MetaNormalLF-Roman" w:hAnsi="MetaNormalLF-Roman"/>
          <w:sz w:val="22"/>
          <w:szCs w:val="22"/>
        </w:rPr>
        <w:t xml:space="preserve"> </w:t>
      </w:r>
      <w:r w:rsidR="0096484E">
        <w:rPr>
          <w:rFonts w:ascii="MetaNormalLF-Roman" w:hAnsi="MetaNormalLF-Roman"/>
          <w:sz w:val="22"/>
          <w:szCs w:val="22"/>
        </w:rPr>
        <w:t xml:space="preserve">Platz </w:t>
      </w:r>
      <w:r w:rsidR="003921FD">
        <w:rPr>
          <w:rFonts w:ascii="MetaNormalLF-Roman" w:hAnsi="MetaNormalLF-Roman"/>
          <w:sz w:val="22"/>
          <w:szCs w:val="22"/>
        </w:rPr>
        <w:t>3</w:t>
      </w:r>
      <w:r w:rsidR="00722A94">
        <w:rPr>
          <w:rFonts w:ascii="MetaNormalLF-Roman" w:hAnsi="MetaNormalLF-Roman"/>
          <w:sz w:val="22"/>
          <w:szCs w:val="22"/>
        </w:rPr>
        <w:t xml:space="preserve"> </w:t>
      </w:r>
      <w:r w:rsidR="0096484E">
        <w:rPr>
          <w:rFonts w:ascii="MetaNormalLF-Roman" w:hAnsi="MetaNormalLF-Roman"/>
          <w:sz w:val="22"/>
          <w:szCs w:val="22"/>
        </w:rPr>
        <w:t xml:space="preserve">der Liste </w:t>
      </w:r>
      <w:r w:rsidR="0096484E" w:rsidRPr="0096484E">
        <w:rPr>
          <w:rFonts w:ascii="MetaNormalLF-Roman" w:hAnsi="MetaNormalLF-Roman"/>
          <w:sz w:val="22"/>
          <w:szCs w:val="22"/>
        </w:rPr>
        <w:t>‚World’s Best</w:t>
      </w:r>
      <w:r w:rsidR="0096484E">
        <w:rPr>
          <w:rFonts w:ascii="MetaNormalLF-Roman" w:hAnsi="MetaNormalLF-Roman"/>
          <w:sz w:val="22"/>
          <w:szCs w:val="22"/>
        </w:rPr>
        <w:t xml:space="preserve"> Multinational Workplaces 2016‘</w:t>
      </w:r>
    </w:p>
    <w:p w14:paraId="54945A45" w14:textId="77777777" w:rsidR="00760633" w:rsidRDefault="00760633">
      <w:pPr>
        <w:spacing w:line="320" w:lineRule="atLeast"/>
        <w:ind w:right="-1"/>
        <w:rPr>
          <w:rFonts w:ascii="MetaNormalLF-Roman" w:hAnsi="MetaNormalLF-Roman"/>
          <w:sz w:val="22"/>
          <w:szCs w:val="22"/>
        </w:rPr>
      </w:pPr>
    </w:p>
    <w:p w14:paraId="75EF6E39" w14:textId="65D1E454" w:rsidR="00CF4AA8" w:rsidRDefault="006067D2" w:rsidP="00CD5156">
      <w:pPr>
        <w:pStyle w:val="BodyText21"/>
        <w:spacing w:after="0" w:line="320" w:lineRule="atLeast"/>
        <w:ind w:right="-1"/>
        <w:rPr>
          <w:rFonts w:ascii="MetaNormalLF-Roman" w:hAnsi="MetaNormalLF-Roman"/>
          <w:bCs/>
          <w:sz w:val="22"/>
          <w:szCs w:val="22"/>
        </w:rPr>
      </w:pPr>
      <w:r>
        <w:rPr>
          <w:rFonts w:ascii="MetaNormalLF-Roman" w:hAnsi="MetaNormalLF-Roman"/>
          <w:sz w:val="22"/>
          <w:szCs w:val="22"/>
        </w:rPr>
        <w:t>Putzbrunn</w:t>
      </w:r>
      <w:r w:rsidR="00050D15">
        <w:rPr>
          <w:rFonts w:ascii="MetaNormalLF-Roman" w:hAnsi="MetaNormalLF-Roman"/>
          <w:sz w:val="22"/>
          <w:szCs w:val="22"/>
        </w:rPr>
        <w:t xml:space="preserve">, </w:t>
      </w:r>
      <w:smartTag w:uri="urn:schemas-microsoft-com:office:smarttags" w:element="date">
        <w:smartTagPr>
          <w:attr w:name="ls" w:val="trans"/>
          <w:attr w:name="Month" w:val="10"/>
          <w:attr w:name="Day" w:val="26"/>
          <w:attr w:name="Year" w:val="2016"/>
        </w:smartTagPr>
        <w:r w:rsidR="003D0460">
          <w:rPr>
            <w:rFonts w:ascii="MetaNormalLF-Roman" w:hAnsi="MetaNormalLF-Roman"/>
            <w:sz w:val="22"/>
            <w:szCs w:val="22"/>
          </w:rPr>
          <w:t>26</w:t>
        </w:r>
        <w:r w:rsidR="00050D15">
          <w:rPr>
            <w:rFonts w:ascii="MetaNormalLF-Roman" w:hAnsi="MetaNormalLF-Roman"/>
            <w:sz w:val="22"/>
            <w:szCs w:val="22"/>
          </w:rPr>
          <w:t xml:space="preserve">. </w:t>
        </w:r>
        <w:r w:rsidR="003D0460">
          <w:rPr>
            <w:rFonts w:ascii="MetaNormalLF-Roman" w:hAnsi="MetaNormalLF-Roman"/>
            <w:sz w:val="22"/>
            <w:szCs w:val="22"/>
          </w:rPr>
          <w:t>Oktober</w:t>
        </w:r>
        <w:r w:rsidR="004431B9">
          <w:rPr>
            <w:rFonts w:ascii="MetaNormalLF-Roman" w:hAnsi="MetaNormalLF-Roman"/>
            <w:sz w:val="22"/>
            <w:szCs w:val="22"/>
          </w:rPr>
          <w:t xml:space="preserve"> </w:t>
        </w:r>
        <w:r w:rsidR="00050D15">
          <w:rPr>
            <w:rFonts w:ascii="MetaNormalLF-Roman" w:hAnsi="MetaNormalLF-Roman"/>
            <w:sz w:val="22"/>
            <w:szCs w:val="22"/>
          </w:rPr>
          <w:t>2016</w:t>
        </w:r>
      </w:smartTag>
      <w:r w:rsidR="00CD5156">
        <w:rPr>
          <w:rFonts w:ascii="MetaNormalLF-Roman" w:hAnsi="MetaNormalLF-Roman"/>
          <w:sz w:val="22"/>
          <w:szCs w:val="22"/>
        </w:rPr>
        <w:t xml:space="preserve"> –</w:t>
      </w:r>
      <w:r w:rsidR="004431B9">
        <w:rPr>
          <w:rFonts w:ascii="MetaNormalLF-Roman" w:hAnsi="MetaNormalLF-Roman"/>
          <w:sz w:val="22"/>
          <w:szCs w:val="22"/>
        </w:rPr>
        <w:t xml:space="preserve"> </w:t>
      </w:r>
      <w:r w:rsidR="004431B9">
        <w:rPr>
          <w:rFonts w:ascii="MetaNormalLF-Roman" w:hAnsi="MetaNormalLF-Roman"/>
          <w:bCs/>
          <w:sz w:val="22"/>
          <w:szCs w:val="22"/>
        </w:rPr>
        <w:t>W. L. Gore &amp; Associates</w:t>
      </w:r>
      <w:r w:rsidR="0089487B">
        <w:rPr>
          <w:rFonts w:ascii="MetaNormalLF-Roman" w:hAnsi="MetaNormalLF-Roman"/>
          <w:bCs/>
          <w:sz w:val="22"/>
          <w:szCs w:val="22"/>
        </w:rPr>
        <w:t xml:space="preserve"> </w:t>
      </w:r>
      <w:r w:rsidR="003F4B20">
        <w:rPr>
          <w:rFonts w:ascii="MetaNormalLF-Roman" w:hAnsi="MetaNormalLF-Roman"/>
          <w:bCs/>
          <w:sz w:val="22"/>
          <w:szCs w:val="22"/>
        </w:rPr>
        <w:t xml:space="preserve">(Gore) </w:t>
      </w:r>
      <w:r w:rsidR="003D0460">
        <w:rPr>
          <w:rFonts w:ascii="MetaNormalLF-Roman" w:hAnsi="MetaNormalLF-Roman"/>
          <w:bCs/>
          <w:sz w:val="22"/>
          <w:szCs w:val="22"/>
        </w:rPr>
        <w:t>ist einer der weltweit attraktivsten Arbeitgeber. Da</w:t>
      </w:r>
      <w:r w:rsidR="00722A94">
        <w:rPr>
          <w:rFonts w:ascii="MetaNormalLF-Roman" w:hAnsi="MetaNormalLF-Roman"/>
          <w:bCs/>
          <w:sz w:val="22"/>
          <w:szCs w:val="22"/>
        </w:rPr>
        <w:t>s Technologieunternehmen belegt</w:t>
      </w:r>
      <w:r w:rsidR="003D0460">
        <w:rPr>
          <w:rFonts w:ascii="MetaNormalLF-Roman" w:hAnsi="MetaNormalLF-Roman"/>
          <w:bCs/>
          <w:sz w:val="22"/>
          <w:szCs w:val="22"/>
        </w:rPr>
        <w:t xml:space="preserve"> mit seiner </w:t>
      </w:r>
      <w:r w:rsidR="006D4DF0">
        <w:rPr>
          <w:rFonts w:ascii="MetaNormalLF-Roman" w:hAnsi="MetaNormalLF-Roman"/>
          <w:bCs/>
          <w:sz w:val="22"/>
          <w:szCs w:val="22"/>
        </w:rPr>
        <w:t>unverwechselbar</w:t>
      </w:r>
      <w:r w:rsidR="003D0460">
        <w:rPr>
          <w:rFonts w:ascii="MetaNormalLF-Roman" w:hAnsi="MetaNormalLF-Roman"/>
          <w:bCs/>
          <w:sz w:val="22"/>
          <w:szCs w:val="22"/>
        </w:rPr>
        <w:t xml:space="preserve">en </w:t>
      </w:r>
      <w:bookmarkStart w:id="0" w:name="_GoBack"/>
      <w:bookmarkEnd w:id="0"/>
      <w:r w:rsidR="003D0460">
        <w:rPr>
          <w:rFonts w:ascii="MetaNormalLF-Roman" w:hAnsi="MetaNormalLF-Roman"/>
          <w:bCs/>
          <w:sz w:val="22"/>
          <w:szCs w:val="22"/>
        </w:rPr>
        <w:t>Unternehmenskultur, die Engagement, Innovation und Gesc</w:t>
      </w:r>
      <w:r w:rsidR="00C66A48">
        <w:rPr>
          <w:rFonts w:ascii="MetaNormalLF-Roman" w:hAnsi="MetaNormalLF-Roman"/>
          <w:bCs/>
          <w:sz w:val="22"/>
          <w:szCs w:val="22"/>
        </w:rPr>
        <w:t>häftserfolge</w:t>
      </w:r>
      <w:r w:rsidR="003D0460">
        <w:rPr>
          <w:rFonts w:ascii="MetaNormalLF-Roman" w:hAnsi="MetaNormalLF-Roman"/>
          <w:bCs/>
          <w:sz w:val="22"/>
          <w:szCs w:val="22"/>
        </w:rPr>
        <w:t xml:space="preserve"> fördert, Platz </w:t>
      </w:r>
      <w:r w:rsidR="003921FD">
        <w:rPr>
          <w:rFonts w:ascii="MetaNormalLF-Roman" w:hAnsi="MetaNormalLF-Roman"/>
          <w:bCs/>
          <w:sz w:val="22"/>
          <w:szCs w:val="22"/>
        </w:rPr>
        <w:t>3</w:t>
      </w:r>
      <w:r w:rsidR="0074795D">
        <w:rPr>
          <w:rFonts w:ascii="MetaNormalLF-Roman" w:hAnsi="MetaNormalLF-Roman"/>
          <w:bCs/>
          <w:sz w:val="22"/>
          <w:szCs w:val="22"/>
        </w:rPr>
        <w:t xml:space="preserve"> </w:t>
      </w:r>
      <w:r w:rsidR="003D0460">
        <w:rPr>
          <w:rFonts w:ascii="MetaNormalLF-Roman" w:hAnsi="MetaNormalLF-Roman"/>
          <w:bCs/>
          <w:sz w:val="22"/>
          <w:szCs w:val="22"/>
        </w:rPr>
        <w:t>der</w:t>
      </w:r>
      <w:r w:rsidR="00722A94">
        <w:rPr>
          <w:rFonts w:ascii="MetaNormalLF-Roman" w:hAnsi="MetaNormalLF-Roman"/>
          <w:bCs/>
          <w:sz w:val="22"/>
          <w:szCs w:val="22"/>
        </w:rPr>
        <w:t xml:space="preserve"> </w:t>
      </w:r>
      <w:r w:rsidR="00686B5C">
        <w:rPr>
          <w:rFonts w:ascii="MetaNormalLF-Roman" w:hAnsi="MetaNormalLF-Roman"/>
          <w:bCs/>
          <w:sz w:val="22"/>
          <w:szCs w:val="22"/>
        </w:rPr>
        <w:t xml:space="preserve">Liste </w:t>
      </w:r>
      <w:r w:rsidR="00686B5C" w:rsidRPr="00686B5C">
        <w:rPr>
          <w:rFonts w:ascii="MetaNormalLF-Roman" w:hAnsi="MetaNormalLF-Roman"/>
          <w:bCs/>
          <w:sz w:val="22"/>
          <w:szCs w:val="22"/>
        </w:rPr>
        <w:t>‚</w:t>
      </w:r>
      <w:r w:rsidR="00686B5C">
        <w:rPr>
          <w:rFonts w:ascii="MetaNormalLF-Roman" w:hAnsi="MetaNormalLF-Roman"/>
          <w:bCs/>
          <w:sz w:val="22"/>
          <w:szCs w:val="22"/>
        </w:rPr>
        <w:t xml:space="preserve">World’s Best Multinational Workplaces 2016‘. Dies gaben heute das Great Place to Work </w:t>
      </w:r>
      <w:r w:rsidR="00686B5C" w:rsidRPr="0096484E">
        <w:rPr>
          <w:rFonts w:ascii="MetaNormalLF-Roman" w:hAnsi="MetaNormalLF-Roman"/>
          <w:bCs/>
          <w:sz w:val="22"/>
          <w:szCs w:val="22"/>
        </w:rPr>
        <w:t>Institut und das US-amerikanische Wirtschaftsmagazin Fortune</w:t>
      </w:r>
      <w:r w:rsidR="0096484E" w:rsidRPr="0096484E">
        <w:rPr>
          <w:rFonts w:ascii="MetaNormalLF-Roman" w:hAnsi="MetaNormalLF-Roman"/>
          <w:bCs/>
          <w:sz w:val="22"/>
          <w:szCs w:val="22"/>
        </w:rPr>
        <w:t xml:space="preserve"> bekannt</w:t>
      </w:r>
      <w:r w:rsidR="00686B5C" w:rsidRPr="0096484E">
        <w:rPr>
          <w:rFonts w:ascii="MetaNormalLF-Roman" w:hAnsi="MetaNormalLF-Roman"/>
          <w:bCs/>
          <w:sz w:val="22"/>
          <w:szCs w:val="22"/>
        </w:rPr>
        <w:t xml:space="preserve">. </w:t>
      </w:r>
      <w:r w:rsidR="00B50CFC" w:rsidRPr="0096484E">
        <w:rPr>
          <w:rFonts w:ascii="MetaNormalLF-Roman" w:hAnsi="MetaNormalLF-Roman"/>
          <w:bCs/>
          <w:sz w:val="22"/>
          <w:szCs w:val="22"/>
        </w:rPr>
        <w:t>Das Ranking stellt die weltweit größte jährliche</w:t>
      </w:r>
      <w:r w:rsidR="00B50CFC">
        <w:rPr>
          <w:rFonts w:ascii="MetaNormalLF-Roman" w:hAnsi="MetaNormalLF-Roman"/>
          <w:bCs/>
          <w:sz w:val="22"/>
          <w:szCs w:val="22"/>
        </w:rPr>
        <w:t xml:space="preserve"> Studie </w:t>
      </w:r>
      <w:r w:rsidR="00686B5C">
        <w:rPr>
          <w:rFonts w:ascii="MetaNormalLF-Roman" w:hAnsi="MetaNormalLF-Roman"/>
          <w:bCs/>
          <w:sz w:val="22"/>
          <w:szCs w:val="22"/>
        </w:rPr>
        <w:t xml:space="preserve">zur Arbeitgeberqualität </w:t>
      </w:r>
      <w:r w:rsidR="00CF4AA8">
        <w:rPr>
          <w:rFonts w:ascii="MetaNormalLF-Roman" w:hAnsi="MetaNormalLF-Roman"/>
          <w:bCs/>
          <w:sz w:val="22"/>
          <w:szCs w:val="22"/>
        </w:rPr>
        <w:t xml:space="preserve">dar </w:t>
      </w:r>
      <w:r w:rsidR="00B47112">
        <w:rPr>
          <w:rFonts w:ascii="MetaNormalLF-Roman" w:hAnsi="MetaNormalLF-Roman"/>
          <w:bCs/>
          <w:sz w:val="22"/>
          <w:szCs w:val="22"/>
        </w:rPr>
        <w:t>und z</w:t>
      </w:r>
      <w:r w:rsidR="00CF4AA8">
        <w:rPr>
          <w:rFonts w:ascii="MetaNormalLF-Roman" w:hAnsi="MetaNormalLF-Roman"/>
          <w:bCs/>
          <w:sz w:val="22"/>
          <w:szCs w:val="22"/>
        </w:rPr>
        <w:t>eichnet die 25 besten multinationalen Unternehmen in Bezug auf ihre Arbeitsplatzkultur aus.</w:t>
      </w:r>
    </w:p>
    <w:p w14:paraId="1122D9E1" w14:textId="77777777" w:rsidR="00CF4AA8" w:rsidRDefault="00CF4AA8" w:rsidP="00CD5156">
      <w:pPr>
        <w:pStyle w:val="BodyText21"/>
        <w:spacing w:after="0" w:line="320" w:lineRule="atLeast"/>
        <w:ind w:right="-1"/>
        <w:rPr>
          <w:rFonts w:ascii="MetaNormalLF-Roman" w:hAnsi="MetaNormalLF-Roman"/>
          <w:bCs/>
          <w:sz w:val="22"/>
          <w:szCs w:val="22"/>
        </w:rPr>
      </w:pPr>
    </w:p>
    <w:p w14:paraId="5969A1CF" w14:textId="73AE8DE8" w:rsidR="0065463C" w:rsidRDefault="0096484E" w:rsidP="00CD5156">
      <w:pPr>
        <w:pStyle w:val="BodyText21"/>
        <w:spacing w:after="0" w:line="320" w:lineRule="atLeast"/>
        <w:ind w:right="-1"/>
        <w:rPr>
          <w:rFonts w:ascii="MetaNormalLF-Roman" w:hAnsi="MetaNormalLF-Roman"/>
          <w:bCs/>
          <w:sz w:val="22"/>
          <w:szCs w:val="22"/>
        </w:rPr>
      </w:pPr>
      <w:r>
        <w:rPr>
          <w:rFonts w:ascii="MetaNormalLF-Roman" w:hAnsi="MetaNormalLF-Roman"/>
          <w:bCs/>
          <w:sz w:val="22"/>
          <w:szCs w:val="22"/>
        </w:rPr>
        <w:t>Gore pflegt se</w:t>
      </w:r>
      <w:r w:rsidR="00CF4AA8">
        <w:rPr>
          <w:rFonts w:ascii="MetaNormalLF-Roman" w:hAnsi="MetaNormalLF-Roman"/>
          <w:bCs/>
          <w:sz w:val="22"/>
          <w:szCs w:val="22"/>
        </w:rPr>
        <w:t xml:space="preserve">it mehr als 50 Jahren </w:t>
      </w:r>
      <w:r w:rsidR="00C66A48">
        <w:rPr>
          <w:rFonts w:ascii="MetaNormalLF-Roman" w:hAnsi="MetaNormalLF-Roman"/>
          <w:bCs/>
          <w:sz w:val="22"/>
          <w:szCs w:val="22"/>
        </w:rPr>
        <w:t>eine Unt</w:t>
      </w:r>
      <w:r w:rsidR="00B47112">
        <w:rPr>
          <w:rFonts w:ascii="MetaNormalLF-Roman" w:hAnsi="MetaNormalLF-Roman"/>
          <w:bCs/>
          <w:sz w:val="22"/>
          <w:szCs w:val="22"/>
        </w:rPr>
        <w:t>ernehmensphilosophie</w:t>
      </w:r>
      <w:r w:rsidR="00C66A48">
        <w:rPr>
          <w:rFonts w:ascii="MetaNormalLF-Roman" w:hAnsi="MetaNormalLF-Roman"/>
          <w:bCs/>
          <w:sz w:val="22"/>
          <w:szCs w:val="22"/>
        </w:rPr>
        <w:t xml:space="preserve">, die </w:t>
      </w:r>
      <w:r w:rsidR="00B47112">
        <w:rPr>
          <w:rFonts w:ascii="MetaNormalLF-Roman" w:hAnsi="MetaNormalLF-Roman"/>
          <w:bCs/>
          <w:sz w:val="22"/>
          <w:szCs w:val="22"/>
        </w:rPr>
        <w:t>den I</w:t>
      </w:r>
      <w:r w:rsidR="00C66A48" w:rsidRPr="00C66A48">
        <w:rPr>
          <w:rFonts w:ascii="MetaNormalLF-Roman" w:hAnsi="MetaNormalLF-Roman"/>
          <w:bCs/>
          <w:sz w:val="22"/>
          <w:szCs w:val="22"/>
        </w:rPr>
        <w:t>nnovati</w:t>
      </w:r>
      <w:r w:rsidR="00B47112">
        <w:rPr>
          <w:rFonts w:ascii="MetaNormalLF-Roman" w:hAnsi="MetaNormalLF-Roman"/>
          <w:bCs/>
          <w:sz w:val="22"/>
          <w:szCs w:val="22"/>
        </w:rPr>
        <w:t xml:space="preserve">onsgeist </w:t>
      </w:r>
      <w:r>
        <w:rPr>
          <w:rFonts w:ascii="MetaNormalLF-Roman" w:hAnsi="MetaNormalLF-Roman"/>
          <w:bCs/>
          <w:sz w:val="22"/>
          <w:szCs w:val="22"/>
        </w:rPr>
        <w:t>von</w:t>
      </w:r>
      <w:r w:rsidR="00B47112">
        <w:rPr>
          <w:rFonts w:ascii="MetaNormalLF-Roman" w:hAnsi="MetaNormalLF-Roman"/>
          <w:bCs/>
          <w:sz w:val="22"/>
          <w:szCs w:val="22"/>
        </w:rPr>
        <w:t xml:space="preserve"> Einzelnen und </w:t>
      </w:r>
      <w:r>
        <w:rPr>
          <w:rFonts w:ascii="MetaNormalLF-Roman" w:hAnsi="MetaNormalLF-Roman"/>
          <w:bCs/>
          <w:sz w:val="22"/>
          <w:szCs w:val="22"/>
        </w:rPr>
        <w:t xml:space="preserve">von </w:t>
      </w:r>
      <w:r w:rsidR="00B47112">
        <w:rPr>
          <w:rFonts w:ascii="MetaNormalLF-Roman" w:hAnsi="MetaNormalLF-Roman"/>
          <w:bCs/>
          <w:sz w:val="22"/>
          <w:szCs w:val="22"/>
        </w:rPr>
        <w:t xml:space="preserve">Teams fördert </w:t>
      </w:r>
      <w:r>
        <w:rPr>
          <w:rFonts w:ascii="MetaNormalLF-Roman" w:hAnsi="MetaNormalLF-Roman"/>
          <w:bCs/>
          <w:sz w:val="22"/>
          <w:szCs w:val="22"/>
        </w:rPr>
        <w:t>sowie</w:t>
      </w:r>
      <w:r w:rsidR="00B47112">
        <w:rPr>
          <w:rFonts w:ascii="MetaNormalLF-Roman" w:hAnsi="MetaNormalLF-Roman"/>
          <w:bCs/>
          <w:sz w:val="22"/>
          <w:szCs w:val="22"/>
        </w:rPr>
        <w:t xml:space="preserve"> ihre vielfältigen Talente und Perspektiven nutzt. </w:t>
      </w:r>
      <w:r w:rsidR="00C66A48">
        <w:rPr>
          <w:rFonts w:ascii="MetaNormalLF-Roman" w:hAnsi="MetaNormalLF-Roman"/>
          <w:bCs/>
          <w:sz w:val="22"/>
          <w:szCs w:val="22"/>
        </w:rPr>
        <w:t xml:space="preserve">„Wir sind ein Unternehmen </w:t>
      </w:r>
      <w:r w:rsidR="00B47112">
        <w:rPr>
          <w:rFonts w:ascii="MetaNormalLF-Roman" w:hAnsi="MetaNormalLF-Roman"/>
          <w:bCs/>
          <w:sz w:val="22"/>
          <w:szCs w:val="22"/>
        </w:rPr>
        <w:t>v</w:t>
      </w:r>
      <w:r w:rsidR="00F002CD">
        <w:rPr>
          <w:rFonts w:ascii="MetaNormalLF-Roman" w:hAnsi="MetaNormalLF-Roman"/>
          <w:bCs/>
          <w:sz w:val="22"/>
          <w:szCs w:val="22"/>
        </w:rPr>
        <w:t>on</w:t>
      </w:r>
      <w:r w:rsidR="001A469D">
        <w:rPr>
          <w:rFonts w:ascii="MetaNormalLF-Roman" w:hAnsi="MetaNormalLF-Roman"/>
          <w:bCs/>
          <w:sz w:val="22"/>
          <w:szCs w:val="22"/>
        </w:rPr>
        <w:t xml:space="preserve"> leidenschaftlichen Mitarbeitern</w:t>
      </w:r>
      <w:r w:rsidR="00B47112">
        <w:rPr>
          <w:rFonts w:ascii="MetaNormalLF-Roman" w:hAnsi="MetaNormalLF-Roman"/>
          <w:bCs/>
          <w:sz w:val="22"/>
          <w:szCs w:val="22"/>
        </w:rPr>
        <w:t xml:space="preserve">, kreativen Denkern und </w:t>
      </w:r>
      <w:r w:rsidR="00C66A48">
        <w:rPr>
          <w:rFonts w:ascii="MetaNormalLF-Roman" w:hAnsi="MetaNormalLF-Roman"/>
          <w:bCs/>
          <w:sz w:val="22"/>
          <w:szCs w:val="22"/>
        </w:rPr>
        <w:t>Problemlöser</w:t>
      </w:r>
      <w:r w:rsidR="00B47112">
        <w:rPr>
          <w:rFonts w:ascii="MetaNormalLF-Roman" w:hAnsi="MetaNormalLF-Roman"/>
          <w:bCs/>
          <w:sz w:val="22"/>
          <w:szCs w:val="22"/>
        </w:rPr>
        <w:t xml:space="preserve">n, die das gemeinsame Engagement für den </w:t>
      </w:r>
      <w:r w:rsidR="0065463C">
        <w:rPr>
          <w:rFonts w:ascii="MetaNormalLF-Roman" w:hAnsi="MetaNormalLF-Roman"/>
          <w:bCs/>
          <w:sz w:val="22"/>
          <w:szCs w:val="22"/>
        </w:rPr>
        <w:t xml:space="preserve">Erfolg unserer Organisation verbindet“, so </w:t>
      </w:r>
      <w:r w:rsidR="00C66A48">
        <w:rPr>
          <w:rFonts w:ascii="MetaNormalLF-Roman" w:hAnsi="MetaNormalLF-Roman"/>
          <w:bCs/>
          <w:sz w:val="22"/>
          <w:szCs w:val="22"/>
        </w:rPr>
        <w:t>CEO Terri Kelly, die vor mehr als 30 Jahren als Ingenieurin zu Gore kam. „</w:t>
      </w:r>
      <w:r w:rsidR="0065463C">
        <w:rPr>
          <w:rFonts w:ascii="MetaNormalLF-Roman" w:hAnsi="MetaNormalLF-Roman"/>
          <w:bCs/>
          <w:sz w:val="22"/>
          <w:szCs w:val="22"/>
        </w:rPr>
        <w:t xml:space="preserve">Mit der fortlaufenden Weiterentwicklung unserer Produkte wollen wir dazu beitragen, die Welt ein bisschen besser zu machen. </w:t>
      </w:r>
      <w:r w:rsidR="0065463C" w:rsidRPr="0065463C">
        <w:rPr>
          <w:rFonts w:ascii="MetaNormalLF-Roman" w:hAnsi="MetaNormalLF-Roman"/>
          <w:bCs/>
          <w:sz w:val="22"/>
          <w:szCs w:val="22"/>
        </w:rPr>
        <w:t xml:space="preserve">Und wir wissen, dass wir </w:t>
      </w:r>
      <w:r w:rsidR="007701E5">
        <w:rPr>
          <w:rFonts w:ascii="MetaNormalLF-Roman" w:hAnsi="MetaNormalLF-Roman"/>
          <w:bCs/>
          <w:sz w:val="22"/>
          <w:szCs w:val="22"/>
        </w:rPr>
        <w:t>die</w:t>
      </w:r>
      <w:r w:rsidR="0065463C" w:rsidRPr="0065463C">
        <w:rPr>
          <w:rFonts w:ascii="MetaNormalLF-Roman" w:hAnsi="MetaNormalLF-Roman"/>
          <w:bCs/>
          <w:sz w:val="22"/>
          <w:szCs w:val="22"/>
        </w:rPr>
        <w:t xml:space="preserve"> </w:t>
      </w:r>
      <w:r w:rsidR="007701E5">
        <w:rPr>
          <w:rFonts w:ascii="MetaNormalLF-Roman" w:hAnsi="MetaNormalLF-Roman"/>
          <w:bCs/>
          <w:sz w:val="22"/>
          <w:szCs w:val="22"/>
        </w:rPr>
        <w:t>besten</w:t>
      </w:r>
      <w:r w:rsidR="0065463C" w:rsidRPr="0065463C">
        <w:rPr>
          <w:rFonts w:ascii="MetaNormalLF-Roman" w:hAnsi="MetaNormalLF-Roman"/>
          <w:bCs/>
          <w:sz w:val="22"/>
          <w:szCs w:val="22"/>
        </w:rPr>
        <w:t xml:space="preserve"> Ergebnisse erzielen, wenn wir </w:t>
      </w:r>
      <w:r w:rsidR="007701E5">
        <w:rPr>
          <w:rFonts w:ascii="MetaNormalLF-Roman" w:hAnsi="MetaNormalLF-Roman"/>
          <w:bCs/>
          <w:sz w:val="22"/>
          <w:szCs w:val="22"/>
        </w:rPr>
        <w:t>unsere</w:t>
      </w:r>
      <w:r>
        <w:rPr>
          <w:rFonts w:ascii="MetaNormalLF-Roman" w:hAnsi="MetaNormalLF-Roman"/>
          <w:bCs/>
          <w:sz w:val="22"/>
          <w:szCs w:val="22"/>
        </w:rPr>
        <w:t xml:space="preserve"> gemeinsamen Werte</w:t>
      </w:r>
      <w:r w:rsidR="0065463C" w:rsidRPr="0065463C">
        <w:rPr>
          <w:rFonts w:ascii="MetaNormalLF-Roman" w:hAnsi="MetaNormalLF-Roman"/>
          <w:bCs/>
          <w:sz w:val="22"/>
          <w:szCs w:val="22"/>
        </w:rPr>
        <w:t xml:space="preserve"> leben, um unseren Kunden innovative Produkte zu liefern. "</w:t>
      </w:r>
    </w:p>
    <w:p w14:paraId="3320A6B6" w14:textId="77777777" w:rsidR="00C66A48" w:rsidRDefault="00C66A48" w:rsidP="00CD5156">
      <w:pPr>
        <w:pStyle w:val="BodyText21"/>
        <w:spacing w:after="0" w:line="320" w:lineRule="atLeast"/>
        <w:ind w:right="-1"/>
        <w:rPr>
          <w:rFonts w:ascii="MetaNormalLF-Roman" w:hAnsi="MetaNormalLF-Roman"/>
          <w:bCs/>
          <w:sz w:val="22"/>
          <w:szCs w:val="22"/>
        </w:rPr>
      </w:pPr>
    </w:p>
    <w:p w14:paraId="28AC1E35" w14:textId="1B2878E8" w:rsidR="0011578E" w:rsidRDefault="00C66A48" w:rsidP="00BE3902">
      <w:pPr>
        <w:pStyle w:val="BodyText21"/>
        <w:spacing w:after="0" w:line="320" w:lineRule="atLeast"/>
        <w:ind w:right="-1"/>
        <w:rPr>
          <w:rFonts w:ascii="MetaNormalLF-Roman" w:hAnsi="MetaNormalLF-Roman"/>
          <w:bCs/>
          <w:sz w:val="22"/>
          <w:szCs w:val="22"/>
        </w:rPr>
      </w:pPr>
      <w:r>
        <w:rPr>
          <w:rFonts w:ascii="MetaNormalLF-Roman" w:hAnsi="MetaNormalLF-Roman"/>
          <w:bCs/>
          <w:sz w:val="22"/>
          <w:szCs w:val="22"/>
        </w:rPr>
        <w:t xml:space="preserve">Die Liste </w:t>
      </w:r>
      <w:r w:rsidR="007701E5">
        <w:rPr>
          <w:rFonts w:ascii="MetaNormalLF-Roman" w:hAnsi="MetaNormalLF-Roman"/>
          <w:bCs/>
          <w:sz w:val="22"/>
          <w:szCs w:val="22"/>
        </w:rPr>
        <w:t xml:space="preserve">der </w:t>
      </w:r>
      <w:r w:rsidR="007701E5" w:rsidRPr="007701E5">
        <w:rPr>
          <w:rFonts w:ascii="MetaNormalLF-Roman" w:hAnsi="MetaNormalLF-Roman"/>
          <w:bCs/>
          <w:sz w:val="22"/>
          <w:szCs w:val="22"/>
        </w:rPr>
        <w:t>‚World’s Be</w:t>
      </w:r>
      <w:r w:rsidR="007701E5">
        <w:rPr>
          <w:rFonts w:ascii="MetaNormalLF-Roman" w:hAnsi="MetaNormalLF-Roman"/>
          <w:bCs/>
          <w:sz w:val="22"/>
          <w:szCs w:val="22"/>
        </w:rPr>
        <w:t>st Multinational Workplaces‘</w:t>
      </w:r>
      <w:r>
        <w:rPr>
          <w:rFonts w:ascii="MetaNormalLF-Roman" w:hAnsi="MetaNormalLF-Roman"/>
          <w:bCs/>
          <w:sz w:val="22"/>
          <w:szCs w:val="22"/>
        </w:rPr>
        <w:t xml:space="preserve"> basiert auf den Ergebnissen der nationalen </w:t>
      </w:r>
      <w:r w:rsidR="007701E5">
        <w:rPr>
          <w:rFonts w:ascii="MetaNormalLF-Roman" w:hAnsi="MetaNormalLF-Roman"/>
          <w:bCs/>
          <w:sz w:val="22"/>
          <w:szCs w:val="22"/>
        </w:rPr>
        <w:t>Länderwettbewerbe</w:t>
      </w:r>
      <w:r>
        <w:rPr>
          <w:rFonts w:ascii="MetaNormalLF-Roman" w:hAnsi="MetaNormalLF-Roman"/>
          <w:bCs/>
          <w:sz w:val="22"/>
          <w:szCs w:val="22"/>
        </w:rPr>
        <w:t xml:space="preserve"> des Great Place to Work Instituts</w:t>
      </w:r>
      <w:r w:rsidR="00EF143F">
        <w:rPr>
          <w:rFonts w:ascii="MetaNormalLF-Roman" w:hAnsi="MetaNormalLF-Roman"/>
          <w:bCs/>
          <w:sz w:val="22"/>
          <w:szCs w:val="22"/>
        </w:rPr>
        <w:t xml:space="preserve"> auf der ganzen Welt</w:t>
      </w:r>
      <w:r>
        <w:rPr>
          <w:rFonts w:ascii="MetaNormalLF-Roman" w:hAnsi="MetaNormalLF-Roman"/>
          <w:bCs/>
          <w:sz w:val="22"/>
          <w:szCs w:val="22"/>
        </w:rPr>
        <w:t xml:space="preserve">. </w:t>
      </w:r>
      <w:r w:rsidR="00EF143F">
        <w:rPr>
          <w:rFonts w:ascii="MetaNormalLF-Roman" w:hAnsi="MetaNormalLF-Roman"/>
          <w:bCs/>
          <w:sz w:val="22"/>
          <w:szCs w:val="22"/>
        </w:rPr>
        <w:t xml:space="preserve">Die deutsche Gore Tochter belegte </w:t>
      </w:r>
      <w:r w:rsidR="0011578E">
        <w:rPr>
          <w:rFonts w:ascii="MetaNormalLF-Roman" w:hAnsi="MetaNormalLF-Roman"/>
          <w:bCs/>
          <w:sz w:val="22"/>
          <w:szCs w:val="22"/>
        </w:rPr>
        <w:t>hier im</w:t>
      </w:r>
      <w:r w:rsidR="00EF143F">
        <w:rPr>
          <w:rFonts w:ascii="MetaNormalLF-Roman" w:hAnsi="MetaNormalLF-Roman"/>
          <w:bCs/>
          <w:sz w:val="22"/>
          <w:szCs w:val="22"/>
        </w:rPr>
        <w:t xml:space="preserve"> diesjährigen bundesweiten Ranking </w:t>
      </w:r>
      <w:r w:rsidR="00EF143F" w:rsidRPr="007701E5">
        <w:rPr>
          <w:rFonts w:ascii="MetaNormalLF-Roman" w:hAnsi="MetaNormalLF-Roman"/>
          <w:bCs/>
          <w:sz w:val="22"/>
          <w:szCs w:val="22"/>
        </w:rPr>
        <w:t>‚</w:t>
      </w:r>
      <w:r w:rsidR="00EF143F">
        <w:rPr>
          <w:rFonts w:ascii="MetaNormalLF-Roman" w:hAnsi="MetaNormalLF-Roman"/>
          <w:bCs/>
          <w:sz w:val="22"/>
          <w:szCs w:val="22"/>
        </w:rPr>
        <w:t>Deutschlands beste Arbeitgeber‘ den 4. Platz.</w:t>
      </w:r>
      <w:r w:rsidR="0011578E">
        <w:rPr>
          <w:rFonts w:ascii="MetaNormalLF-Roman" w:hAnsi="MetaNormalLF-Roman"/>
          <w:bCs/>
          <w:sz w:val="22"/>
          <w:szCs w:val="22"/>
        </w:rPr>
        <w:t xml:space="preserve"> Grundlage der </w:t>
      </w:r>
      <w:r w:rsidR="00EF143F">
        <w:rPr>
          <w:rFonts w:ascii="MetaNormalLF-Roman" w:hAnsi="MetaNormalLF-Roman"/>
          <w:bCs/>
          <w:sz w:val="22"/>
          <w:szCs w:val="22"/>
        </w:rPr>
        <w:t xml:space="preserve">Platzierungen </w:t>
      </w:r>
      <w:r w:rsidR="0011578E">
        <w:rPr>
          <w:rFonts w:ascii="MetaNormalLF-Roman" w:hAnsi="MetaNormalLF-Roman"/>
          <w:bCs/>
          <w:sz w:val="22"/>
          <w:szCs w:val="22"/>
        </w:rPr>
        <w:t>ist</w:t>
      </w:r>
      <w:r w:rsidR="00EF143F">
        <w:rPr>
          <w:rFonts w:ascii="MetaNormalLF-Roman" w:hAnsi="MetaNormalLF-Roman"/>
          <w:bCs/>
          <w:sz w:val="22"/>
          <w:szCs w:val="22"/>
        </w:rPr>
        <w:t xml:space="preserve"> eine ausführliche Befragung der Mitarbeiter, in der diese unter anderem ihren Arbeitsplatz, die Kollegen, die Führungskräfte, die Weiterbildungsmöglichkeiten sowie die Vereinbarkeit von Beruf und Privatleben bewerten. Außerdem fließt </w:t>
      </w:r>
      <w:r w:rsidR="0011578E">
        <w:rPr>
          <w:rFonts w:ascii="MetaNormalLF-Roman" w:hAnsi="MetaNormalLF-Roman"/>
          <w:bCs/>
          <w:sz w:val="22"/>
          <w:szCs w:val="22"/>
        </w:rPr>
        <w:t xml:space="preserve">in die Bewertung </w:t>
      </w:r>
      <w:r w:rsidR="00EF143F">
        <w:rPr>
          <w:rFonts w:ascii="MetaNormalLF-Roman" w:hAnsi="MetaNormalLF-Roman"/>
          <w:bCs/>
          <w:sz w:val="22"/>
          <w:szCs w:val="22"/>
        </w:rPr>
        <w:t xml:space="preserve">eine Analyse der Maßnahmen der Personal- und Führungsarbeit mit ein – das so genannte Culture Audit.  </w:t>
      </w:r>
    </w:p>
    <w:p w14:paraId="7AB3270E" w14:textId="77777777" w:rsidR="008D4BD5" w:rsidRDefault="008D4BD5" w:rsidP="00BE3902">
      <w:pPr>
        <w:pStyle w:val="BodyText21"/>
        <w:spacing w:after="0" w:line="320" w:lineRule="atLeast"/>
        <w:ind w:right="-1"/>
        <w:rPr>
          <w:rFonts w:ascii="MetaNormalLF-Roman" w:hAnsi="MetaNormalLF-Roman"/>
          <w:bCs/>
          <w:sz w:val="22"/>
          <w:szCs w:val="22"/>
        </w:rPr>
      </w:pPr>
    </w:p>
    <w:p w14:paraId="45EE4EEE" w14:textId="77777777" w:rsidR="008D4BD5" w:rsidRDefault="008D4BD5" w:rsidP="00BE3902">
      <w:pPr>
        <w:pStyle w:val="BodyText21"/>
        <w:spacing w:after="0" w:line="320" w:lineRule="atLeast"/>
        <w:ind w:right="-1"/>
        <w:rPr>
          <w:rFonts w:ascii="MetaNormalLF-Roman" w:hAnsi="MetaNormalLF-Roman"/>
          <w:bCs/>
          <w:sz w:val="22"/>
          <w:szCs w:val="22"/>
        </w:rPr>
      </w:pPr>
    </w:p>
    <w:p w14:paraId="482B5E8D" w14:textId="43DBE46D" w:rsidR="0014712B" w:rsidRPr="00286A78" w:rsidRDefault="0014712B" w:rsidP="00286A78">
      <w:pPr>
        <w:pStyle w:val="BodyText21"/>
        <w:spacing w:after="0" w:line="320" w:lineRule="atLeast"/>
        <w:ind w:right="-1"/>
        <w:rPr>
          <w:rFonts w:ascii="MetaNormalLF-Roman" w:hAnsi="MetaNormalLF-Roman"/>
          <w:bCs/>
          <w:sz w:val="22"/>
          <w:szCs w:val="22"/>
        </w:rPr>
      </w:pPr>
      <w:r w:rsidRPr="0014712B">
        <w:rPr>
          <w:rFonts w:ascii="MetaNormalLF-Roman" w:hAnsi="MetaNormalLF-Roman"/>
          <w:b/>
          <w:sz w:val="22"/>
          <w:szCs w:val="22"/>
        </w:rPr>
        <w:t>Über Gore</w:t>
      </w:r>
    </w:p>
    <w:p w14:paraId="42D728EE" w14:textId="77777777" w:rsidR="00760633" w:rsidRPr="00226258" w:rsidRDefault="00A32337" w:rsidP="00226258">
      <w:pPr>
        <w:spacing w:line="320" w:lineRule="atLeast"/>
        <w:ind w:right="-137"/>
        <w:rPr>
          <w:rFonts w:ascii="MetaNormalLF-Roman" w:hAnsi="MetaNormalLF-Roman" w:cs="Tahoma"/>
          <w:sz w:val="22"/>
          <w:szCs w:val="22"/>
        </w:rPr>
      </w:pPr>
      <w:r>
        <w:rPr>
          <w:rFonts w:ascii="MetaNormalLF-Roman" w:hAnsi="MetaNormalLF-Roman" w:cs="Tahoma"/>
          <w:sz w:val="22"/>
          <w:szCs w:val="22"/>
        </w:rPr>
        <w:t>Seit mehr als einem halben Jahrhundert steht der Name W. L. Gore &amp; Associates für innovative technologische Lösungen. Das Gore P</w:t>
      </w:r>
      <w:r>
        <w:rPr>
          <w:rFonts w:ascii="MetaNormalLF-Roman" w:hAnsi="MetaNormalLF-Roman"/>
          <w:sz w:val="22"/>
          <w:szCs w:val="22"/>
        </w:rPr>
        <w:t xml:space="preserve">roduktportfolio umfasst eine breite Palette, die von Gitarrensaiten über </w:t>
      </w:r>
      <w:r>
        <w:rPr>
          <w:rFonts w:ascii="MetaNormalLF-Roman" w:hAnsi="MetaNormalLF-Roman" w:cs="Tahoma"/>
          <w:sz w:val="22"/>
          <w:szCs w:val="22"/>
        </w:rPr>
        <w:t>Funktionstextilien für Wetterschutzkleidung</w:t>
      </w:r>
      <w:r>
        <w:rPr>
          <w:rFonts w:ascii="MetaNormalLF-Roman" w:hAnsi="MetaNormalLF-Roman"/>
          <w:sz w:val="22"/>
          <w:szCs w:val="22"/>
        </w:rPr>
        <w:t xml:space="preserve"> bis hin zu lebensrettenden Implantaten für Herz und Gefäßsystem des Menschen reicht. Seinen Sitz hat das 1958 gegründete Unternehmen in Newark/Delaware in den USA. Gore erwirtschaftet einen Umsatz von über $ 3 Mrd. mit mehr als 10.000 Associates in über 30 Ländern weltweit. In Deutschland beschäftigt die W. L. Gore &amp; Associates GmbH rund</w:t>
      </w:r>
      <w:r>
        <w:rPr>
          <w:rFonts w:ascii="MetaNormalLF-Roman" w:hAnsi="MetaNormalLF-Roman" w:cs="Tahoma"/>
          <w:sz w:val="22"/>
          <w:szCs w:val="22"/>
        </w:rPr>
        <w:t xml:space="preserve"> 1.500 Associates an ihren vier bayerischen Standorten in Putzbrunn, Feldkirchen, Burgkirchen und Pleinfeld. </w:t>
      </w:r>
      <w:r>
        <w:rPr>
          <w:rFonts w:ascii="MetaNormalLF-Roman" w:hAnsi="MetaNormalLF-Roman"/>
          <w:sz w:val="22"/>
          <w:szCs w:val="22"/>
        </w:rPr>
        <w:t xml:space="preserve">Mehrfach gehörte Gore bei den nationalen Great Place to Work Wettbewerben in den USA, Großbritannien, Frankreich, Schweden, Italien und </w:t>
      </w:r>
      <w:r>
        <w:rPr>
          <w:rFonts w:ascii="MetaNormalLF-Roman" w:hAnsi="MetaNormalLF-Roman"/>
          <w:sz w:val="22"/>
          <w:szCs w:val="22"/>
        </w:rPr>
        <w:lastRenderedPageBreak/>
        <w:t>Deutschland sowie bei dem europäischen und dem globalen Wettbewerb des Institutes zu den top-platzierten Unternehmen.</w:t>
      </w:r>
    </w:p>
    <w:p w14:paraId="07A284F5" w14:textId="77777777" w:rsidR="008D4BD5" w:rsidRDefault="008D4BD5" w:rsidP="008D4BD5">
      <w:pPr>
        <w:spacing w:line="320" w:lineRule="atLeast"/>
        <w:ind w:right="-1"/>
        <w:rPr>
          <w:rFonts w:ascii="MetaNormalLF-Roman" w:hAnsi="MetaNormalLF-Roman" w:cs="Tahoma"/>
          <w:sz w:val="22"/>
          <w:szCs w:val="22"/>
          <w:lang w:val="fr-FR"/>
        </w:rPr>
      </w:pPr>
    </w:p>
    <w:p w14:paraId="00D36753" w14:textId="41C4598C" w:rsidR="008D4BD5" w:rsidRDefault="008D4BD5" w:rsidP="008D4BD5">
      <w:pPr>
        <w:spacing w:line="320" w:lineRule="atLeast"/>
        <w:ind w:right="-1"/>
        <w:rPr>
          <w:rFonts w:ascii="MetaNormalLF-Roman" w:hAnsi="MetaNormalLF-Roman" w:cs="Tahoma"/>
          <w:b/>
          <w:sz w:val="22"/>
          <w:szCs w:val="22"/>
          <w:lang w:val="fr-FR"/>
        </w:rPr>
      </w:pPr>
      <w:r w:rsidRPr="008D4BD5">
        <w:rPr>
          <w:rFonts w:ascii="MetaNormalLF-Roman" w:hAnsi="MetaNormalLF-Roman" w:cs="Tahoma"/>
          <w:b/>
          <w:sz w:val="22"/>
          <w:szCs w:val="22"/>
          <w:lang w:val="fr-FR"/>
        </w:rPr>
        <w:t>Pressefoto</w:t>
      </w:r>
    </w:p>
    <w:p w14:paraId="32C7E0B0" w14:textId="77777777" w:rsidR="00543F58" w:rsidRPr="008D4BD5" w:rsidRDefault="00543F58" w:rsidP="008D4BD5">
      <w:pPr>
        <w:spacing w:line="320" w:lineRule="atLeast"/>
        <w:ind w:right="-1"/>
        <w:rPr>
          <w:rFonts w:ascii="MetaNormalLF-Roman" w:hAnsi="MetaNormalLF-Roman" w:cs="Tahoma"/>
          <w:b/>
          <w:sz w:val="22"/>
          <w:szCs w:val="22"/>
          <w:lang w:val="fr-FR"/>
        </w:rPr>
      </w:pPr>
    </w:p>
    <w:p w14:paraId="492F9718" w14:textId="6A6D86AC" w:rsidR="008D4BD5" w:rsidRDefault="00543F58" w:rsidP="008D4BD5">
      <w:pPr>
        <w:spacing w:line="320" w:lineRule="atLeast"/>
        <w:ind w:right="-1"/>
        <w:rPr>
          <w:rFonts w:ascii="MetaNormalLF-Roman" w:hAnsi="MetaNormalLF-Roman" w:cs="Tahoma"/>
          <w:sz w:val="22"/>
          <w:szCs w:val="22"/>
          <w:lang w:val="fr-FR"/>
        </w:rPr>
      </w:pPr>
      <w:r>
        <w:rPr>
          <w:rFonts w:ascii="MetaNormalLF-Roman" w:hAnsi="MetaNormalLF-Roman" w:cs="Tahoma"/>
          <w:noProof/>
          <w:sz w:val="22"/>
          <w:szCs w:val="22"/>
          <w:lang w:eastAsia="de-DE"/>
        </w:rPr>
        <w:drawing>
          <wp:inline distT="0" distB="0" distL="0" distR="0" wp14:anchorId="06D47524" wp14:editId="25330EB4">
            <wp:extent cx="3131591" cy="2088746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 WORKPLACES 2015_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591" cy="208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7EB9" w14:textId="77777777" w:rsidR="008D4BD5" w:rsidRPr="00EA7EEE" w:rsidRDefault="008D4BD5" w:rsidP="008D4BD5">
      <w:pPr>
        <w:spacing w:line="320" w:lineRule="atLeast"/>
        <w:ind w:right="-1"/>
        <w:rPr>
          <w:rFonts w:ascii="MetaNormalLF-Roman" w:hAnsi="MetaNormalLF-Roman"/>
          <w:sz w:val="22"/>
          <w:szCs w:val="22"/>
          <w:lang w:val="fr-FR"/>
        </w:rPr>
      </w:pPr>
      <w:r w:rsidRPr="00923A3A">
        <w:rPr>
          <w:rFonts w:ascii="MetaNormalLF-Roman" w:hAnsi="MetaNormalLF-Roman" w:cs="Tahoma"/>
          <w:sz w:val="22"/>
          <w:szCs w:val="22"/>
          <w:lang w:val="fr-FR"/>
        </w:rPr>
        <w:t>©</w:t>
      </w:r>
      <w:r>
        <w:rPr>
          <w:rFonts w:ascii="MetaNormalLF-Roman" w:hAnsi="MetaNormalLF-Roman"/>
          <w:sz w:val="22"/>
          <w:szCs w:val="22"/>
          <w:lang w:val="fr-FR"/>
        </w:rPr>
        <w:t xml:space="preserve"> </w:t>
      </w:r>
      <w:r w:rsidRPr="00EA7EEE">
        <w:rPr>
          <w:rFonts w:ascii="MetaNormalLF-Roman" w:hAnsi="MetaNormalLF-Roman"/>
          <w:sz w:val="22"/>
          <w:szCs w:val="22"/>
          <w:lang w:val="fr-FR"/>
        </w:rPr>
        <w:t>W. L. Gore &amp; Associates</w:t>
      </w:r>
    </w:p>
    <w:p w14:paraId="534A06E7" w14:textId="77777777" w:rsidR="00760633" w:rsidRDefault="00760633">
      <w:pPr>
        <w:spacing w:line="320" w:lineRule="atLeast"/>
        <w:ind w:right="-1"/>
        <w:rPr>
          <w:rFonts w:ascii="MetaNormalLF-Roman" w:hAnsi="MetaNormalLF-Roman"/>
          <w:sz w:val="22"/>
          <w:szCs w:val="22"/>
        </w:rPr>
      </w:pPr>
    </w:p>
    <w:p w14:paraId="19491C23" w14:textId="61F4A90E" w:rsidR="003C12A8" w:rsidRPr="00165629" w:rsidRDefault="00050D15" w:rsidP="00286A78">
      <w:pPr>
        <w:spacing w:line="320" w:lineRule="atLeast"/>
        <w:ind w:right="-1"/>
        <w:jc w:val="center"/>
        <w:rPr>
          <w:rFonts w:ascii="MetaNormalLF-Roman" w:hAnsi="MetaNormalLF-Roman"/>
          <w:b/>
          <w:sz w:val="22"/>
          <w:szCs w:val="22"/>
        </w:rPr>
      </w:pPr>
      <w:r w:rsidRPr="00165629">
        <w:rPr>
          <w:rFonts w:ascii="MetaNormalLF-Roman" w:hAnsi="MetaNormalLF-Roman"/>
          <w:b/>
          <w:sz w:val="22"/>
          <w:szCs w:val="22"/>
        </w:rPr>
        <w:t># # #</w:t>
      </w:r>
    </w:p>
    <w:p w14:paraId="24C93AD1" w14:textId="77777777" w:rsidR="001872F3" w:rsidRPr="00165629" w:rsidRDefault="001872F3">
      <w:pPr>
        <w:spacing w:line="320" w:lineRule="atLeast"/>
        <w:ind w:right="-1"/>
        <w:rPr>
          <w:rFonts w:ascii="MetaNormalLF-Roman" w:hAnsi="MetaNormalLF-Roman"/>
          <w:b/>
          <w:sz w:val="22"/>
          <w:szCs w:val="22"/>
        </w:rPr>
      </w:pPr>
    </w:p>
    <w:p w14:paraId="02065CF3" w14:textId="77777777" w:rsidR="00286A78" w:rsidRDefault="00286A78">
      <w:pPr>
        <w:spacing w:line="320" w:lineRule="atLeast"/>
        <w:ind w:right="-1"/>
        <w:rPr>
          <w:rFonts w:ascii="MetaNormalLF-Roman" w:hAnsi="MetaNormalLF-Roman"/>
          <w:b/>
          <w:sz w:val="22"/>
          <w:szCs w:val="22"/>
        </w:rPr>
      </w:pPr>
    </w:p>
    <w:p w14:paraId="3BA87095" w14:textId="77777777" w:rsidR="00760633" w:rsidRPr="00481F2B" w:rsidRDefault="0014712B">
      <w:pPr>
        <w:spacing w:line="320" w:lineRule="atLeast"/>
        <w:ind w:right="-1"/>
        <w:rPr>
          <w:rFonts w:ascii="MetaNormalLF-Roman" w:hAnsi="MetaNormalLF-Roman"/>
          <w:b/>
          <w:sz w:val="22"/>
          <w:szCs w:val="22"/>
        </w:rPr>
      </w:pPr>
      <w:r w:rsidRPr="00481F2B">
        <w:rPr>
          <w:rFonts w:ascii="MetaNormalLF-Roman" w:hAnsi="MetaNormalLF-Roman"/>
          <w:b/>
          <w:sz w:val="22"/>
          <w:szCs w:val="22"/>
        </w:rPr>
        <w:t>Kontakt</w:t>
      </w:r>
    </w:p>
    <w:p w14:paraId="47F3C804" w14:textId="77777777" w:rsidR="00760633" w:rsidRPr="00481F2B" w:rsidRDefault="00760633">
      <w:pPr>
        <w:spacing w:line="320" w:lineRule="atLeast"/>
        <w:ind w:right="-1"/>
        <w:rPr>
          <w:rFonts w:ascii="MetaNormalLF-Roman" w:hAnsi="MetaNormalLF-Roman"/>
          <w:sz w:val="22"/>
          <w:szCs w:val="22"/>
        </w:rPr>
      </w:pPr>
      <w:r w:rsidRPr="00481F2B">
        <w:rPr>
          <w:rFonts w:ascii="MetaNormalLF-Roman" w:hAnsi="MetaNormalLF-Roman"/>
          <w:sz w:val="22"/>
          <w:szCs w:val="22"/>
        </w:rPr>
        <w:t>Für weitere Informationen</w:t>
      </w:r>
    </w:p>
    <w:p w14:paraId="6E4D0AA8" w14:textId="77777777" w:rsidR="00760633" w:rsidRPr="00C13A70" w:rsidRDefault="002B3FE7">
      <w:pPr>
        <w:spacing w:line="320" w:lineRule="atLeast"/>
        <w:rPr>
          <w:rFonts w:ascii="MetaNormalLF-Roman" w:hAnsi="MetaNormalLF-Roman"/>
          <w:sz w:val="22"/>
          <w:szCs w:val="22"/>
        </w:rPr>
      </w:pPr>
      <w:r>
        <w:rPr>
          <w:rFonts w:ascii="MetaNormalLF-Roman" w:hAnsi="MetaNormalLF-Roman"/>
          <w:sz w:val="22"/>
          <w:szCs w:val="22"/>
        </w:rPr>
        <w:t>Michael Haag</w:t>
      </w:r>
      <w:r>
        <w:rPr>
          <w:rFonts w:ascii="MetaNormalLF-Roman" w:hAnsi="MetaNormalLF-Roman"/>
          <w:sz w:val="22"/>
          <w:szCs w:val="22"/>
        </w:rPr>
        <w:br/>
        <w:t>W. L. Gore</w:t>
      </w:r>
      <w:r w:rsidR="00760633" w:rsidRPr="00C13A70">
        <w:rPr>
          <w:rFonts w:ascii="MetaNormalLF-Roman" w:hAnsi="MetaNormalLF-Roman"/>
          <w:sz w:val="22"/>
          <w:szCs w:val="22"/>
        </w:rPr>
        <w:t xml:space="preserve"> &amp; Associates GmbH</w:t>
      </w:r>
      <w:r w:rsidR="00760633" w:rsidRPr="00C13A70">
        <w:rPr>
          <w:rFonts w:ascii="MetaNormalLF-Roman" w:hAnsi="MetaNormalLF-Roman"/>
          <w:sz w:val="22"/>
          <w:szCs w:val="22"/>
        </w:rPr>
        <w:br/>
      </w:r>
      <w:r w:rsidR="00C13A70" w:rsidRPr="00C13A70">
        <w:rPr>
          <w:rFonts w:ascii="MetaNormalLF-Roman" w:hAnsi="MetaNormalLF-Roman"/>
          <w:sz w:val="22"/>
          <w:szCs w:val="22"/>
        </w:rPr>
        <w:t>Unternehmenskommunikation</w:t>
      </w:r>
      <w:r w:rsidR="00760633" w:rsidRPr="00C13A70">
        <w:rPr>
          <w:rFonts w:ascii="MetaNormalLF-Roman" w:hAnsi="MetaNormalLF-Roman"/>
          <w:sz w:val="22"/>
          <w:szCs w:val="22"/>
        </w:rPr>
        <w:br/>
        <w:t>D-85636 Putzbrunn</w:t>
      </w:r>
    </w:p>
    <w:p w14:paraId="1C9EBAA1" w14:textId="77777777" w:rsidR="00760633" w:rsidRPr="00481F2B" w:rsidRDefault="00760633">
      <w:pPr>
        <w:spacing w:line="320" w:lineRule="atLeast"/>
        <w:rPr>
          <w:rFonts w:ascii="MetaNormalLF-Roman" w:hAnsi="MetaNormalLF-Roman"/>
          <w:sz w:val="22"/>
          <w:szCs w:val="22"/>
        </w:rPr>
      </w:pPr>
      <w:r w:rsidRPr="00481F2B">
        <w:rPr>
          <w:rFonts w:ascii="MetaNormalLF-Roman" w:hAnsi="MetaNormalLF-Roman"/>
          <w:sz w:val="22"/>
          <w:szCs w:val="22"/>
        </w:rPr>
        <w:t>Tel. + 49/89/4612-2773, Fax -42773;</w:t>
      </w:r>
      <w:r w:rsidRPr="00481F2B">
        <w:rPr>
          <w:rFonts w:ascii="MetaNormalLF-Roman" w:hAnsi="MetaNormalLF-Roman"/>
          <w:sz w:val="22"/>
          <w:szCs w:val="22"/>
        </w:rPr>
        <w:br/>
        <w:t>e-mail mhaag@wlgore.com</w:t>
      </w:r>
    </w:p>
    <w:p w14:paraId="106A8609" w14:textId="77777777" w:rsidR="00760633" w:rsidRPr="00481F2B" w:rsidRDefault="00760633">
      <w:pPr>
        <w:spacing w:line="320" w:lineRule="atLeast"/>
        <w:rPr>
          <w:rFonts w:ascii="MetaNormalLF-Roman" w:hAnsi="MetaNormalLF-Roman"/>
          <w:sz w:val="22"/>
          <w:szCs w:val="22"/>
        </w:rPr>
      </w:pPr>
      <w:r w:rsidRPr="00481F2B">
        <w:rPr>
          <w:rFonts w:ascii="MetaNormalLF-Roman" w:hAnsi="MetaNormalLF-Roman"/>
          <w:sz w:val="22"/>
          <w:szCs w:val="22"/>
        </w:rPr>
        <w:t>Mobil + 49/172/8151483</w:t>
      </w:r>
    </w:p>
    <w:p w14:paraId="61A4CF0D" w14:textId="77777777" w:rsidR="00760633" w:rsidRDefault="00E32640">
      <w:pPr>
        <w:spacing w:line="320" w:lineRule="atLeast"/>
        <w:rPr>
          <w:rStyle w:val="Hyperlink"/>
          <w:rFonts w:ascii="MetaNormalLF-Roman" w:hAnsi="MetaNormalLF-Roman"/>
          <w:sz w:val="22"/>
          <w:szCs w:val="22"/>
        </w:rPr>
      </w:pPr>
      <w:hyperlink r:id="rId8" w:history="1">
        <w:r w:rsidR="00760633" w:rsidRPr="00481F2B">
          <w:rPr>
            <w:rStyle w:val="Hyperlink"/>
            <w:rFonts w:ascii="MetaNormalLF-Roman" w:hAnsi="MetaNormalLF-Roman"/>
            <w:sz w:val="22"/>
            <w:szCs w:val="22"/>
          </w:rPr>
          <w:t>www.gore.com</w:t>
        </w:r>
      </w:hyperlink>
      <w:r w:rsidR="00760633" w:rsidRPr="00481F2B">
        <w:rPr>
          <w:rFonts w:ascii="MetaNormalLF-Roman" w:hAnsi="MetaNormalLF-Roman"/>
          <w:snapToGrid w:val="0"/>
          <w:color w:val="000000"/>
          <w:sz w:val="22"/>
          <w:szCs w:val="22"/>
        </w:rPr>
        <w:t xml:space="preserve">, </w:t>
      </w:r>
      <w:hyperlink r:id="rId9" w:history="1">
        <w:r w:rsidR="00760633" w:rsidRPr="00481F2B">
          <w:rPr>
            <w:rStyle w:val="Hyperlink"/>
            <w:rFonts w:ascii="MetaNormalLF-Roman" w:hAnsi="MetaNormalLF-Roman"/>
            <w:sz w:val="22"/>
            <w:szCs w:val="22"/>
          </w:rPr>
          <w:t>www.gore-tex.com</w:t>
        </w:r>
      </w:hyperlink>
    </w:p>
    <w:p w14:paraId="0AA80004" w14:textId="77777777" w:rsidR="00CC14B4" w:rsidRPr="00481F2B" w:rsidRDefault="00CC14B4">
      <w:pPr>
        <w:spacing w:line="320" w:lineRule="atLeast"/>
        <w:rPr>
          <w:rFonts w:ascii="MetaNormalLF-Roman" w:hAnsi="MetaNormalLF-Roman"/>
          <w:snapToGrid w:val="0"/>
          <w:color w:val="000000"/>
          <w:sz w:val="22"/>
          <w:szCs w:val="22"/>
        </w:rPr>
      </w:pPr>
    </w:p>
    <w:p w14:paraId="6A154835" w14:textId="77777777" w:rsidR="00760633" w:rsidRDefault="00760633">
      <w:pPr>
        <w:spacing w:line="320" w:lineRule="atLeast"/>
        <w:rPr>
          <w:rStyle w:val="maintext3"/>
          <w:rFonts w:ascii="MetaNormalLF-Roman" w:hAnsi="MetaNormalLF-Roman" w:cs="Tahoma"/>
          <w:color w:val="auto"/>
          <w:sz w:val="22"/>
          <w:szCs w:val="22"/>
        </w:rPr>
      </w:pPr>
      <w:r>
        <w:rPr>
          <w:rFonts w:ascii="MetaNormalLF-Roman" w:hAnsi="MetaNormalLF-Roman" w:cs="Tahoma"/>
          <w:sz w:val="22"/>
          <w:szCs w:val="22"/>
        </w:rPr>
        <w:t>Wir freuen uns über ein Belegexemplar.</w:t>
      </w:r>
    </w:p>
    <w:sectPr w:rsidR="00760633" w:rsidSect="00D24A8A">
      <w:headerReference w:type="default" r:id="rId10"/>
      <w:footerReference w:type="default" r:id="rId11"/>
      <w:pgSz w:w="11907" w:h="16840"/>
      <w:pgMar w:top="2835" w:right="1842" w:bottom="1134" w:left="1021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1CD42" w14:textId="77777777" w:rsidR="00E32640" w:rsidRDefault="00E32640">
      <w:r>
        <w:separator/>
      </w:r>
    </w:p>
  </w:endnote>
  <w:endnote w:type="continuationSeparator" w:id="0">
    <w:p w14:paraId="0E0BB936" w14:textId="77777777" w:rsidR="00E32640" w:rsidRDefault="00E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MetaMediumLF-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S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9BD5C" w14:textId="77777777" w:rsidR="005537E1" w:rsidRDefault="005537E1">
    <w:pPr>
      <w:pStyle w:val="Fuzeile"/>
      <w:tabs>
        <w:tab w:val="left" w:pos="9781"/>
      </w:tabs>
      <w:rPr>
        <w:sz w:val="12"/>
      </w:rPr>
    </w:pPr>
    <w:r>
      <w:rPr>
        <w:sz w:val="12"/>
        <w:lang w:val="en-US"/>
      </w:rPr>
      <w:t>GORE and designs are trademarks of</w:t>
    </w:r>
    <w:r w:rsidR="003C0563">
      <w:rPr>
        <w:sz w:val="12"/>
        <w:lang w:val="en-US"/>
      </w:rPr>
      <w:t xml:space="preserve"> W. L. Gore &amp; Associates. © 201</w:t>
    </w:r>
    <w:r w:rsidR="00050D15">
      <w:rPr>
        <w:sz w:val="12"/>
        <w:lang w:val="en-US"/>
      </w:rPr>
      <w:t>6</w:t>
    </w:r>
    <w:r>
      <w:rPr>
        <w:sz w:val="12"/>
        <w:lang w:val="en-US"/>
      </w:rPr>
      <w:t xml:space="preserve"> W. L. Gore &amp; Associates GmbH</w:t>
    </w:r>
    <w:r>
      <w:rPr>
        <w:sz w:val="12"/>
        <w:lang w:val="en-US"/>
      </w:rPr>
      <w:tab/>
    </w:r>
    <w:r>
      <w:rPr>
        <w:sz w:val="12"/>
        <w:lang w:val="en-US"/>
      </w:rPr>
      <w:tab/>
    </w:r>
    <w:r w:rsidR="00D24A8A">
      <w:rPr>
        <w:rStyle w:val="Seitenzahl"/>
        <w:color w:val="808080"/>
        <w:sz w:val="28"/>
      </w:rPr>
      <w:fldChar w:fldCharType="begin"/>
    </w:r>
    <w:r>
      <w:rPr>
        <w:rStyle w:val="Seitenzahl"/>
        <w:color w:val="808080"/>
        <w:sz w:val="28"/>
      </w:rPr>
      <w:instrText xml:space="preserve"> PAGE </w:instrText>
    </w:r>
    <w:r w:rsidR="00D24A8A">
      <w:rPr>
        <w:rStyle w:val="Seitenzahl"/>
        <w:color w:val="808080"/>
        <w:sz w:val="28"/>
      </w:rPr>
      <w:fldChar w:fldCharType="separate"/>
    </w:r>
    <w:r w:rsidR="006D4DF0">
      <w:rPr>
        <w:rStyle w:val="Seitenzahl"/>
        <w:noProof/>
        <w:color w:val="808080"/>
        <w:sz w:val="28"/>
      </w:rPr>
      <w:t>1</w:t>
    </w:r>
    <w:r w:rsidR="00D24A8A">
      <w:rPr>
        <w:rStyle w:val="Seitenzahl"/>
        <w:color w:val="808080"/>
        <w:sz w:val="28"/>
      </w:rPr>
      <w:fldChar w:fldCharType="end"/>
    </w:r>
    <w:r>
      <w:rPr>
        <w:rStyle w:val="Seitenzahl"/>
        <w:color w:val="808080"/>
        <w:sz w:val="28"/>
      </w:rPr>
      <w:t>-</w:t>
    </w:r>
    <w:r w:rsidR="00D24A8A">
      <w:rPr>
        <w:rStyle w:val="Seitenzahl"/>
        <w:color w:val="808080"/>
        <w:sz w:val="28"/>
      </w:rPr>
      <w:fldChar w:fldCharType="begin"/>
    </w:r>
    <w:r>
      <w:rPr>
        <w:rStyle w:val="Seitenzahl"/>
        <w:color w:val="808080"/>
        <w:sz w:val="28"/>
      </w:rPr>
      <w:instrText xml:space="preserve"> NUMPAGES </w:instrText>
    </w:r>
    <w:r w:rsidR="00D24A8A">
      <w:rPr>
        <w:rStyle w:val="Seitenzahl"/>
        <w:color w:val="808080"/>
        <w:sz w:val="28"/>
      </w:rPr>
      <w:fldChar w:fldCharType="separate"/>
    </w:r>
    <w:r w:rsidR="006D4DF0">
      <w:rPr>
        <w:rStyle w:val="Seitenzahl"/>
        <w:noProof/>
        <w:color w:val="808080"/>
        <w:sz w:val="28"/>
      </w:rPr>
      <w:t>2</w:t>
    </w:r>
    <w:r w:rsidR="00D24A8A">
      <w:rPr>
        <w:rStyle w:val="Seitenzahl"/>
        <w:color w:val="808080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16206" w14:textId="77777777" w:rsidR="00E32640" w:rsidRDefault="00E32640">
      <w:r>
        <w:separator/>
      </w:r>
    </w:p>
  </w:footnote>
  <w:footnote w:type="continuationSeparator" w:id="0">
    <w:p w14:paraId="3160D04F" w14:textId="77777777" w:rsidR="00E32640" w:rsidRDefault="00E3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5036A" w14:textId="77777777" w:rsidR="005537E1" w:rsidRDefault="005537E1">
    <w:pPr>
      <w:pStyle w:val="Kopfzeile"/>
      <w:tabs>
        <w:tab w:val="clear" w:pos="9072"/>
        <w:tab w:val="right" w:pos="8931"/>
      </w:tabs>
    </w:pPr>
    <w:r>
      <w:object w:dxaOrig="10140" w:dyaOrig="980" w14:anchorId="71EC4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15pt;height:48.85pt" o:ole="">
          <v:imagedata r:id="rId1" o:title=""/>
        </v:shape>
        <o:OLEObject Type="Embed" ProgID="Word.Picture.8" ShapeID="_x0000_i1025" DrawAspect="Content" ObjectID="_153899872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EF"/>
    <w:rsid w:val="00012F81"/>
    <w:rsid w:val="00016BE0"/>
    <w:rsid w:val="0002120A"/>
    <w:rsid w:val="0004445B"/>
    <w:rsid w:val="00050D15"/>
    <w:rsid w:val="00067C9B"/>
    <w:rsid w:val="00076357"/>
    <w:rsid w:val="00096799"/>
    <w:rsid w:val="000A11AD"/>
    <w:rsid w:val="000B0FD1"/>
    <w:rsid w:val="000B385C"/>
    <w:rsid w:val="000B6298"/>
    <w:rsid w:val="000D1FF3"/>
    <w:rsid w:val="000E4C03"/>
    <w:rsid w:val="000E5508"/>
    <w:rsid w:val="000F6E75"/>
    <w:rsid w:val="000F7D5F"/>
    <w:rsid w:val="0011578E"/>
    <w:rsid w:val="00125C34"/>
    <w:rsid w:val="0014690D"/>
    <w:rsid w:val="0014712B"/>
    <w:rsid w:val="0015658A"/>
    <w:rsid w:val="00165629"/>
    <w:rsid w:val="001872F3"/>
    <w:rsid w:val="001A0CAE"/>
    <w:rsid w:val="001A469D"/>
    <w:rsid w:val="001C50EE"/>
    <w:rsid w:val="001C7589"/>
    <w:rsid w:val="00205B82"/>
    <w:rsid w:val="0022544B"/>
    <w:rsid w:val="00226258"/>
    <w:rsid w:val="00243A8D"/>
    <w:rsid w:val="00246D80"/>
    <w:rsid w:val="002516E7"/>
    <w:rsid w:val="00254FE0"/>
    <w:rsid w:val="00262E9A"/>
    <w:rsid w:val="00270433"/>
    <w:rsid w:val="00281D8E"/>
    <w:rsid w:val="00286A78"/>
    <w:rsid w:val="00291BAD"/>
    <w:rsid w:val="002B3FE7"/>
    <w:rsid w:val="002C2C31"/>
    <w:rsid w:val="002D3102"/>
    <w:rsid w:val="002F31BA"/>
    <w:rsid w:val="00300D1F"/>
    <w:rsid w:val="00301BFD"/>
    <w:rsid w:val="00303AF3"/>
    <w:rsid w:val="003073AE"/>
    <w:rsid w:val="00317674"/>
    <w:rsid w:val="00317CF4"/>
    <w:rsid w:val="00320A32"/>
    <w:rsid w:val="00324D95"/>
    <w:rsid w:val="00325154"/>
    <w:rsid w:val="00343861"/>
    <w:rsid w:val="003630F2"/>
    <w:rsid w:val="00367DE6"/>
    <w:rsid w:val="003714FF"/>
    <w:rsid w:val="0037243C"/>
    <w:rsid w:val="00374D30"/>
    <w:rsid w:val="003771A6"/>
    <w:rsid w:val="003921FD"/>
    <w:rsid w:val="003A23F3"/>
    <w:rsid w:val="003C0563"/>
    <w:rsid w:val="003C12A8"/>
    <w:rsid w:val="003C1CD1"/>
    <w:rsid w:val="003C40C8"/>
    <w:rsid w:val="003D0460"/>
    <w:rsid w:val="003F368A"/>
    <w:rsid w:val="003F4B20"/>
    <w:rsid w:val="003F5259"/>
    <w:rsid w:val="003F64C4"/>
    <w:rsid w:val="003F79BA"/>
    <w:rsid w:val="00417692"/>
    <w:rsid w:val="00417B08"/>
    <w:rsid w:val="00425240"/>
    <w:rsid w:val="00437B85"/>
    <w:rsid w:val="004431B9"/>
    <w:rsid w:val="00452100"/>
    <w:rsid w:val="0045248A"/>
    <w:rsid w:val="00453888"/>
    <w:rsid w:val="00465F7C"/>
    <w:rsid w:val="00480B6A"/>
    <w:rsid w:val="00481F2B"/>
    <w:rsid w:val="00487211"/>
    <w:rsid w:val="00487A9F"/>
    <w:rsid w:val="00494439"/>
    <w:rsid w:val="004A4AB5"/>
    <w:rsid w:val="004A713C"/>
    <w:rsid w:val="004B2C70"/>
    <w:rsid w:val="004B426B"/>
    <w:rsid w:val="004B628D"/>
    <w:rsid w:val="004C6FD4"/>
    <w:rsid w:val="004D408C"/>
    <w:rsid w:val="004D726F"/>
    <w:rsid w:val="004E022A"/>
    <w:rsid w:val="004E254B"/>
    <w:rsid w:val="004F0F52"/>
    <w:rsid w:val="004F1A61"/>
    <w:rsid w:val="00513EE6"/>
    <w:rsid w:val="005168CC"/>
    <w:rsid w:val="005329E1"/>
    <w:rsid w:val="005347CE"/>
    <w:rsid w:val="00543F58"/>
    <w:rsid w:val="005537E1"/>
    <w:rsid w:val="00584335"/>
    <w:rsid w:val="00593EEF"/>
    <w:rsid w:val="005A03AF"/>
    <w:rsid w:val="005E28EC"/>
    <w:rsid w:val="005E4F15"/>
    <w:rsid w:val="005E752A"/>
    <w:rsid w:val="00602BF8"/>
    <w:rsid w:val="00602C28"/>
    <w:rsid w:val="006067D2"/>
    <w:rsid w:val="0061657B"/>
    <w:rsid w:val="00622707"/>
    <w:rsid w:val="0062444D"/>
    <w:rsid w:val="00626600"/>
    <w:rsid w:val="006419B1"/>
    <w:rsid w:val="00644285"/>
    <w:rsid w:val="00647AFA"/>
    <w:rsid w:val="00647ECE"/>
    <w:rsid w:val="0065463C"/>
    <w:rsid w:val="00656716"/>
    <w:rsid w:val="00663790"/>
    <w:rsid w:val="00672B13"/>
    <w:rsid w:val="00673A8A"/>
    <w:rsid w:val="00674A7D"/>
    <w:rsid w:val="00682967"/>
    <w:rsid w:val="00686488"/>
    <w:rsid w:val="00686B5C"/>
    <w:rsid w:val="0069448A"/>
    <w:rsid w:val="006B5376"/>
    <w:rsid w:val="006C40F2"/>
    <w:rsid w:val="006D4DF0"/>
    <w:rsid w:val="006D512F"/>
    <w:rsid w:val="006E6C97"/>
    <w:rsid w:val="006F1CE6"/>
    <w:rsid w:val="0070534A"/>
    <w:rsid w:val="00712F03"/>
    <w:rsid w:val="00722A94"/>
    <w:rsid w:val="00736ED4"/>
    <w:rsid w:val="00744C7C"/>
    <w:rsid w:val="0074795D"/>
    <w:rsid w:val="00752CF7"/>
    <w:rsid w:val="00760633"/>
    <w:rsid w:val="007701E5"/>
    <w:rsid w:val="007753C3"/>
    <w:rsid w:val="00785D20"/>
    <w:rsid w:val="007B6482"/>
    <w:rsid w:val="007E27BD"/>
    <w:rsid w:val="007E4278"/>
    <w:rsid w:val="007F1F8F"/>
    <w:rsid w:val="007F7CF3"/>
    <w:rsid w:val="00840C72"/>
    <w:rsid w:val="00840D7A"/>
    <w:rsid w:val="00851245"/>
    <w:rsid w:val="0085243E"/>
    <w:rsid w:val="008657B4"/>
    <w:rsid w:val="0088130F"/>
    <w:rsid w:val="0089487B"/>
    <w:rsid w:val="00896B11"/>
    <w:rsid w:val="008B36F7"/>
    <w:rsid w:val="008D46B9"/>
    <w:rsid w:val="008D4BD5"/>
    <w:rsid w:val="008E1786"/>
    <w:rsid w:val="008E18F2"/>
    <w:rsid w:val="008E3AB5"/>
    <w:rsid w:val="008E4562"/>
    <w:rsid w:val="008E7BDE"/>
    <w:rsid w:val="008F568E"/>
    <w:rsid w:val="008F61C6"/>
    <w:rsid w:val="00900C1A"/>
    <w:rsid w:val="009109A3"/>
    <w:rsid w:val="00923592"/>
    <w:rsid w:val="0092737D"/>
    <w:rsid w:val="00930767"/>
    <w:rsid w:val="00932055"/>
    <w:rsid w:val="00936EC7"/>
    <w:rsid w:val="00941F09"/>
    <w:rsid w:val="009460D7"/>
    <w:rsid w:val="00957162"/>
    <w:rsid w:val="0096099B"/>
    <w:rsid w:val="00962901"/>
    <w:rsid w:val="0096484E"/>
    <w:rsid w:val="00967A15"/>
    <w:rsid w:val="009764DA"/>
    <w:rsid w:val="00976929"/>
    <w:rsid w:val="00981CEB"/>
    <w:rsid w:val="00982EA3"/>
    <w:rsid w:val="009A0C73"/>
    <w:rsid w:val="009A1F62"/>
    <w:rsid w:val="009A2DE6"/>
    <w:rsid w:val="009A65A8"/>
    <w:rsid w:val="009D37D7"/>
    <w:rsid w:val="009F634D"/>
    <w:rsid w:val="009F7345"/>
    <w:rsid w:val="00A0792A"/>
    <w:rsid w:val="00A31E82"/>
    <w:rsid w:val="00A32337"/>
    <w:rsid w:val="00A5288E"/>
    <w:rsid w:val="00A567A0"/>
    <w:rsid w:val="00A614BC"/>
    <w:rsid w:val="00A8086B"/>
    <w:rsid w:val="00AA74FE"/>
    <w:rsid w:val="00AC364B"/>
    <w:rsid w:val="00AD3118"/>
    <w:rsid w:val="00AD7D89"/>
    <w:rsid w:val="00AF10E8"/>
    <w:rsid w:val="00AF1D9F"/>
    <w:rsid w:val="00B10F9A"/>
    <w:rsid w:val="00B15202"/>
    <w:rsid w:val="00B17B23"/>
    <w:rsid w:val="00B24E33"/>
    <w:rsid w:val="00B24FFE"/>
    <w:rsid w:val="00B45064"/>
    <w:rsid w:val="00B47112"/>
    <w:rsid w:val="00B50CFC"/>
    <w:rsid w:val="00B57F03"/>
    <w:rsid w:val="00B62270"/>
    <w:rsid w:val="00B645D2"/>
    <w:rsid w:val="00B75E60"/>
    <w:rsid w:val="00B7634D"/>
    <w:rsid w:val="00B76653"/>
    <w:rsid w:val="00B849A4"/>
    <w:rsid w:val="00B8666A"/>
    <w:rsid w:val="00B87889"/>
    <w:rsid w:val="00B93636"/>
    <w:rsid w:val="00BB07F8"/>
    <w:rsid w:val="00BB2666"/>
    <w:rsid w:val="00BB559C"/>
    <w:rsid w:val="00BD69B7"/>
    <w:rsid w:val="00BD7E68"/>
    <w:rsid w:val="00BE3902"/>
    <w:rsid w:val="00BE4B10"/>
    <w:rsid w:val="00BE4E66"/>
    <w:rsid w:val="00C06CFE"/>
    <w:rsid w:val="00C13A70"/>
    <w:rsid w:val="00C32616"/>
    <w:rsid w:val="00C34EB1"/>
    <w:rsid w:val="00C36E43"/>
    <w:rsid w:val="00C4315E"/>
    <w:rsid w:val="00C51B66"/>
    <w:rsid w:val="00C65307"/>
    <w:rsid w:val="00C66A48"/>
    <w:rsid w:val="00C734CD"/>
    <w:rsid w:val="00C74FD8"/>
    <w:rsid w:val="00C82F2D"/>
    <w:rsid w:val="00C85F99"/>
    <w:rsid w:val="00C871A4"/>
    <w:rsid w:val="00CB23EF"/>
    <w:rsid w:val="00CB3458"/>
    <w:rsid w:val="00CC14B4"/>
    <w:rsid w:val="00CC4C0A"/>
    <w:rsid w:val="00CD0739"/>
    <w:rsid w:val="00CD5156"/>
    <w:rsid w:val="00CE50AC"/>
    <w:rsid w:val="00CE688A"/>
    <w:rsid w:val="00CF1460"/>
    <w:rsid w:val="00CF1DC4"/>
    <w:rsid w:val="00CF4AA8"/>
    <w:rsid w:val="00CF56F6"/>
    <w:rsid w:val="00D24A8A"/>
    <w:rsid w:val="00D24F24"/>
    <w:rsid w:val="00D55198"/>
    <w:rsid w:val="00D86810"/>
    <w:rsid w:val="00D91A36"/>
    <w:rsid w:val="00DB1114"/>
    <w:rsid w:val="00DB2EB9"/>
    <w:rsid w:val="00DC6EE6"/>
    <w:rsid w:val="00E035BF"/>
    <w:rsid w:val="00E156B6"/>
    <w:rsid w:val="00E1725B"/>
    <w:rsid w:val="00E21B9F"/>
    <w:rsid w:val="00E32640"/>
    <w:rsid w:val="00E4128B"/>
    <w:rsid w:val="00E421A9"/>
    <w:rsid w:val="00E45F02"/>
    <w:rsid w:val="00E5327D"/>
    <w:rsid w:val="00E564D0"/>
    <w:rsid w:val="00E72AFC"/>
    <w:rsid w:val="00E84489"/>
    <w:rsid w:val="00E853B7"/>
    <w:rsid w:val="00E87216"/>
    <w:rsid w:val="00E9523C"/>
    <w:rsid w:val="00EA690E"/>
    <w:rsid w:val="00EB0940"/>
    <w:rsid w:val="00EB2047"/>
    <w:rsid w:val="00EC0ED2"/>
    <w:rsid w:val="00EC54E5"/>
    <w:rsid w:val="00EC69AF"/>
    <w:rsid w:val="00ED3B2D"/>
    <w:rsid w:val="00ED5312"/>
    <w:rsid w:val="00EF143F"/>
    <w:rsid w:val="00F002CD"/>
    <w:rsid w:val="00F03DDF"/>
    <w:rsid w:val="00F16006"/>
    <w:rsid w:val="00F204C1"/>
    <w:rsid w:val="00F3325C"/>
    <w:rsid w:val="00F52A7F"/>
    <w:rsid w:val="00F546A9"/>
    <w:rsid w:val="00F60530"/>
    <w:rsid w:val="00F66134"/>
    <w:rsid w:val="00FA59BF"/>
    <w:rsid w:val="00FA66E8"/>
    <w:rsid w:val="00FB58C7"/>
    <w:rsid w:val="00FC1DEB"/>
    <w:rsid w:val="00FE345E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7EDDAADD"/>
  <w15:docId w15:val="{D9B65147-127C-4D75-8DF8-E2FA4D0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4C0A"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06"/>
      </w:tabs>
      <w:ind w:right="-624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NormalParagraphStyle">
    <w:name w:val="NormalParagraphStyle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Textkrper">
    <w:name w:val="Body Text"/>
    <w:basedOn w:val="Standard"/>
    <w:rPr>
      <w:sz w:val="18"/>
    </w:rPr>
  </w:style>
  <w:style w:type="character" w:customStyle="1" w:styleId="bigtextbold1">
    <w:name w:val="bigtextbold1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maintextbold3">
    <w:name w:val="maintextbold3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maintext3">
    <w:name w:val="maintext3"/>
    <w:rPr>
      <w:rFonts w:ascii="Verdana" w:hAnsi="Verdana" w:hint="default"/>
      <w:color w:val="00000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Standard"/>
    <w:pPr>
      <w:spacing w:after="120" w:line="480" w:lineRule="auto"/>
    </w:pPr>
    <w:rPr>
      <w:rFonts w:ascii="USALight" w:hAnsi="USALight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7E42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E4278"/>
  </w:style>
  <w:style w:type="character" w:customStyle="1" w:styleId="KommentartextZchn">
    <w:name w:val="Kommentartext Zchn"/>
    <w:link w:val="Kommentartext"/>
    <w:rsid w:val="007E4278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E4278"/>
    <w:rPr>
      <w:b/>
      <w:bCs/>
    </w:rPr>
  </w:style>
  <w:style w:type="character" w:customStyle="1" w:styleId="KommentarthemaZchn">
    <w:name w:val="Kommentarthema Zchn"/>
    <w:link w:val="Kommentarthema"/>
    <w:rsid w:val="007E4278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7E427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7E42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e-tex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0B32-B94D-494B-B6E7-AF748ECD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Gore GPTW Europe</vt:lpstr>
    </vt:vector>
  </TitlesOfParts>
  <Company>Gore</Company>
  <LinksUpToDate>false</LinksUpToDate>
  <CharactersWithSpaces>3509</CharactersWithSpaces>
  <SharedDoc>false</SharedDoc>
  <HLinks>
    <vt:vector size="12" baseType="variant">
      <vt:variant>
        <vt:i4>1572952</vt:i4>
      </vt:variant>
      <vt:variant>
        <vt:i4>3</vt:i4>
      </vt:variant>
      <vt:variant>
        <vt:i4>0</vt:i4>
      </vt:variant>
      <vt:variant>
        <vt:i4>5</vt:i4>
      </vt:variant>
      <vt:variant>
        <vt:lpwstr>http://www.gore-tex.com/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http://www.gore.com/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Gore GPTW Europe</dc:title>
  <dc:creator>W. L. Gore &amp; Associates</dc:creator>
  <cp:lastModifiedBy>Michael Haag</cp:lastModifiedBy>
  <cp:revision>11</cp:revision>
  <cp:lastPrinted>2016-10-26T12:16:00Z</cp:lastPrinted>
  <dcterms:created xsi:type="dcterms:W3CDTF">2016-10-26T10:53:00Z</dcterms:created>
  <dcterms:modified xsi:type="dcterms:W3CDTF">2016-10-26T12:52:00Z</dcterms:modified>
</cp:coreProperties>
</file>